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E" w:rsidRDefault="00581BB8" w:rsidP="004F2B9B">
      <w:pPr>
        <w:jc w:val="center"/>
        <w:rPr>
          <w:b/>
        </w:rPr>
      </w:pPr>
      <w:r>
        <w:rPr>
          <w:b/>
        </w:rPr>
        <w:t xml:space="preserve">CI </w:t>
      </w:r>
      <w:r w:rsidR="004F2B9B" w:rsidRPr="004F2B9B">
        <w:rPr>
          <w:b/>
        </w:rPr>
        <w:t>Task Information</w:t>
      </w:r>
    </w:p>
    <w:p w:rsidR="00C70D21" w:rsidRPr="004F2B9B" w:rsidRDefault="00C70D21" w:rsidP="004F2B9B">
      <w:pPr>
        <w:jc w:val="center"/>
        <w:rPr>
          <w:b/>
        </w:rPr>
      </w:pPr>
      <w:r>
        <w:rPr>
          <w:b/>
        </w:rPr>
        <w:t>Row Houses</w:t>
      </w:r>
      <w:bookmarkStart w:id="0" w:name="_GoBack"/>
      <w:bookmarkEnd w:id="0"/>
    </w:p>
    <w:p w:rsidR="004F2B9B" w:rsidRDefault="004F2B9B"/>
    <w:tbl>
      <w:tblPr>
        <w:tblStyle w:val="TableGrid"/>
        <w:tblW w:w="0" w:type="auto"/>
        <w:tblLook w:val="04A0" w:firstRow="1" w:lastRow="0" w:firstColumn="1" w:lastColumn="0" w:noHBand="0" w:noVBand="1"/>
      </w:tblPr>
      <w:tblGrid>
        <w:gridCol w:w="2628"/>
        <w:gridCol w:w="6948"/>
      </w:tblGrid>
      <w:tr w:rsidR="00581BB8" w:rsidRPr="00581BB8" w:rsidTr="00581BB8">
        <w:tc>
          <w:tcPr>
            <w:tcW w:w="2628" w:type="dxa"/>
          </w:tcPr>
          <w:p w:rsidR="00581BB8" w:rsidRPr="00581BB8" w:rsidRDefault="00581BB8" w:rsidP="009304BF">
            <w:pPr>
              <w:ind w:left="360"/>
            </w:pPr>
            <w:r w:rsidRPr="00581BB8">
              <w:t>Task Title:</w:t>
            </w:r>
          </w:p>
        </w:tc>
        <w:tc>
          <w:tcPr>
            <w:tcW w:w="6948" w:type="dxa"/>
          </w:tcPr>
          <w:p w:rsidR="00581BB8" w:rsidRPr="00581BB8" w:rsidRDefault="005553EE" w:rsidP="00D73BC6">
            <w:r>
              <w:t>Houses</w:t>
            </w:r>
          </w:p>
        </w:tc>
      </w:tr>
      <w:tr w:rsidR="00581BB8" w:rsidRPr="00581BB8" w:rsidTr="00581BB8">
        <w:tc>
          <w:tcPr>
            <w:tcW w:w="2628" w:type="dxa"/>
          </w:tcPr>
          <w:p w:rsidR="00581BB8" w:rsidRPr="00581BB8" w:rsidRDefault="00581BB8" w:rsidP="009304BF">
            <w:pPr>
              <w:ind w:left="360"/>
            </w:pPr>
            <w:r w:rsidRPr="00581BB8">
              <w:t>Task Authors:</w:t>
            </w:r>
          </w:p>
        </w:tc>
        <w:tc>
          <w:tcPr>
            <w:tcW w:w="6948" w:type="dxa"/>
          </w:tcPr>
          <w:p w:rsidR="00581BB8" w:rsidRPr="00581BB8" w:rsidRDefault="005553EE" w:rsidP="008F503E">
            <w:r>
              <w:t>Mathew D. Felton-Koestler</w:t>
            </w:r>
          </w:p>
        </w:tc>
      </w:tr>
      <w:tr w:rsidR="00581BB8" w:rsidRPr="00581BB8" w:rsidTr="00581BB8">
        <w:tc>
          <w:tcPr>
            <w:tcW w:w="2628" w:type="dxa"/>
          </w:tcPr>
          <w:p w:rsidR="00581BB8" w:rsidRPr="00581BB8" w:rsidRDefault="00581BB8" w:rsidP="00CF0CA6">
            <w:pPr>
              <w:rPr>
                <w:b/>
              </w:rPr>
            </w:pPr>
            <w:r w:rsidRPr="00581BB8">
              <w:rPr>
                <w:b/>
              </w:rPr>
              <w:t>Learning Goals</w:t>
            </w:r>
          </w:p>
        </w:tc>
        <w:tc>
          <w:tcPr>
            <w:tcW w:w="6948" w:type="dxa"/>
            <w:shd w:val="clear" w:color="auto" w:fill="A6A6A6" w:themeFill="background1" w:themeFillShade="A6"/>
          </w:tcPr>
          <w:p w:rsidR="00581BB8" w:rsidRPr="00581BB8" w:rsidRDefault="00581BB8" w:rsidP="00CF0CA6"/>
        </w:tc>
      </w:tr>
      <w:tr w:rsidR="00581BB8" w:rsidRPr="00581BB8" w:rsidTr="00581BB8">
        <w:tc>
          <w:tcPr>
            <w:tcW w:w="2628" w:type="dxa"/>
          </w:tcPr>
          <w:p w:rsidR="00581BB8" w:rsidRPr="00581BB8" w:rsidRDefault="00581BB8" w:rsidP="009304BF">
            <w:pPr>
              <w:ind w:left="360"/>
            </w:pPr>
            <w:r w:rsidRPr="00581BB8">
              <w:t>Objectives (mathematical and/or pedagogical):</w:t>
            </w:r>
          </w:p>
        </w:tc>
        <w:tc>
          <w:tcPr>
            <w:tcW w:w="6948" w:type="dxa"/>
          </w:tcPr>
          <w:p w:rsidR="00581BB8" w:rsidRDefault="004900DB" w:rsidP="005553EE">
            <w:r>
              <w:t xml:space="preserve">Mathematical: Problem solve </w:t>
            </w:r>
            <w:r w:rsidR="005553EE">
              <w:t>with multiple strategies, make connections between mathematical ideas, represent mathematical ideas in multiple ways, generalize</w:t>
            </w:r>
            <w:r w:rsidR="00DF2655">
              <w:t xml:space="preserve"> a rule</w:t>
            </w:r>
            <w:r w:rsidR="005553EE">
              <w:t>, communicate mathematical ideas clearly</w:t>
            </w:r>
            <w:r w:rsidR="00DF2655">
              <w:t>, make sense of mathematical arguments</w:t>
            </w:r>
            <w:r w:rsidR="0043231E">
              <w:t>, make sense of algebraic symbols</w:t>
            </w:r>
            <w:r w:rsidR="00DF2655">
              <w:t>.</w:t>
            </w:r>
          </w:p>
          <w:p w:rsidR="005553EE" w:rsidRDefault="005553EE" w:rsidP="005553EE"/>
          <w:p w:rsidR="005553EE" w:rsidRPr="005553EE" w:rsidRDefault="005553EE" w:rsidP="00DF2655">
            <w:r>
              <w:t>Pedagogical: Think from a K-12 student’s perspective</w:t>
            </w:r>
            <w:r w:rsidR="00DF2655">
              <w:t>; has been used to introduce group roles and CI norms (thus some of the directions on the task card are quite specific).</w:t>
            </w:r>
          </w:p>
        </w:tc>
      </w:tr>
      <w:tr w:rsidR="00581BB8" w:rsidRPr="00581BB8" w:rsidTr="00581BB8">
        <w:tc>
          <w:tcPr>
            <w:tcW w:w="2628" w:type="dxa"/>
          </w:tcPr>
          <w:p w:rsidR="00581BB8" w:rsidRPr="00581BB8" w:rsidRDefault="00581BB8" w:rsidP="009304BF">
            <w:pPr>
              <w:ind w:left="360"/>
            </w:pPr>
            <w:r w:rsidRPr="00581BB8">
              <w:t>Common Core Content Standards Addressed:</w:t>
            </w:r>
          </w:p>
        </w:tc>
        <w:tc>
          <w:tcPr>
            <w:tcW w:w="6948" w:type="dxa"/>
          </w:tcPr>
          <w:p w:rsidR="005553EE" w:rsidRDefault="005553EE" w:rsidP="004B46A2">
            <w:r>
              <w:t>Depends some on the age level and emphasis.</w:t>
            </w:r>
          </w:p>
          <w:p w:rsidR="00DF2655" w:rsidRDefault="00DF2655" w:rsidP="004B46A2"/>
          <w:p w:rsidR="00581BB8" w:rsidRDefault="005553EE" w:rsidP="004B46A2">
            <w:r>
              <w:t xml:space="preserve">K-5: Most strongly hits the </w:t>
            </w:r>
            <w:r w:rsidRPr="00DF2655">
              <w:rPr>
                <w:b/>
              </w:rPr>
              <w:t xml:space="preserve">Operations </w:t>
            </w:r>
            <w:r w:rsidR="00DF2655" w:rsidRPr="00DF2655">
              <w:rPr>
                <w:b/>
              </w:rPr>
              <w:t>&amp;</w:t>
            </w:r>
            <w:r w:rsidRPr="00DF2655">
              <w:rPr>
                <w:b/>
              </w:rPr>
              <w:t xml:space="preserve"> Algebraic Thinking</w:t>
            </w:r>
            <w:r>
              <w:t xml:space="preserve"> domain, especially 3.OA.D.9 (identify arithmetic patterns…), 4.OA.C.5 (Generate a number or shape pattern that follows a given rule…), 5.OA.A.2 (</w:t>
            </w:r>
            <w:r w:rsidR="00DF2655">
              <w:t>interpreting expressions). Depending on students’ background knowledge there can also be heavy emphasis on com</w:t>
            </w:r>
            <w:r w:rsidR="0043231E">
              <w:t>putational strategies:</w:t>
            </w:r>
            <w:r w:rsidR="00DF2655">
              <w:t xml:space="preserve"> the </w:t>
            </w:r>
            <w:r w:rsidR="00DF2655" w:rsidRPr="00DF2655">
              <w:rPr>
                <w:b/>
              </w:rPr>
              <w:t>Number &amp; Operations in Base Ten</w:t>
            </w:r>
            <w:r w:rsidR="00DF2655">
              <w:t xml:space="preserve"> domain.</w:t>
            </w:r>
          </w:p>
          <w:p w:rsidR="00DF2655" w:rsidRDefault="00DF2655" w:rsidP="004B46A2"/>
          <w:p w:rsidR="00DF2655" w:rsidRPr="00DF2655" w:rsidRDefault="00DF2655" w:rsidP="00DF2655">
            <w:r>
              <w:t xml:space="preserve">6-8: Strong emphasis on the </w:t>
            </w:r>
            <w:r>
              <w:rPr>
                <w:b/>
              </w:rPr>
              <w:t>Expressions &amp; Equations</w:t>
            </w:r>
            <w:r>
              <w:t xml:space="preserve"> domain. </w:t>
            </w:r>
          </w:p>
        </w:tc>
      </w:tr>
      <w:tr w:rsidR="00581BB8" w:rsidRPr="00581BB8" w:rsidTr="00581BB8">
        <w:tc>
          <w:tcPr>
            <w:tcW w:w="2628" w:type="dxa"/>
          </w:tcPr>
          <w:p w:rsidR="00581BB8" w:rsidRPr="00581BB8" w:rsidRDefault="00581BB8" w:rsidP="009304BF">
            <w:pPr>
              <w:ind w:left="360"/>
            </w:pPr>
            <w:r w:rsidRPr="00581BB8">
              <w:t>Common Core Standards for Mathematical Practice Addressed:</w:t>
            </w:r>
          </w:p>
        </w:tc>
        <w:tc>
          <w:tcPr>
            <w:tcW w:w="6948" w:type="dxa"/>
          </w:tcPr>
          <w:p w:rsidR="00581BB8" w:rsidRPr="00581BB8" w:rsidRDefault="005553EE" w:rsidP="005553EE">
            <w:r>
              <w:t>(1) Make sense of problems and persevere in solving them (with multiple strategies), (2) Reason abstractly and quantitatively, (3) Construct viable arguments and critique the reasoning of others, (6) Attend to precision, (7) Look for and make use of structure, (8) Look for and express regularity in repeated reasoning.</w:t>
            </w:r>
          </w:p>
        </w:tc>
      </w:tr>
      <w:tr w:rsidR="00581BB8" w:rsidRPr="00581BB8" w:rsidTr="00581BB8">
        <w:tc>
          <w:tcPr>
            <w:tcW w:w="2628" w:type="dxa"/>
          </w:tcPr>
          <w:p w:rsidR="00581BB8" w:rsidRPr="00581BB8" w:rsidRDefault="00581BB8" w:rsidP="00AD0206">
            <w:pPr>
              <w:rPr>
                <w:b/>
              </w:rPr>
            </w:pPr>
            <w:r w:rsidRPr="00581BB8">
              <w:rPr>
                <w:b/>
              </w:rPr>
              <w:t>Set up Information</w:t>
            </w:r>
          </w:p>
        </w:tc>
        <w:tc>
          <w:tcPr>
            <w:tcW w:w="6948" w:type="dxa"/>
            <w:shd w:val="clear" w:color="auto" w:fill="A6A6A6" w:themeFill="background1" w:themeFillShade="A6"/>
          </w:tcPr>
          <w:p w:rsidR="00581BB8" w:rsidRPr="00581BB8" w:rsidRDefault="00581BB8" w:rsidP="00AD0206"/>
        </w:tc>
      </w:tr>
      <w:tr w:rsidR="00581BB8" w:rsidRPr="00581BB8" w:rsidTr="00581BB8">
        <w:tc>
          <w:tcPr>
            <w:tcW w:w="2628" w:type="dxa"/>
          </w:tcPr>
          <w:p w:rsidR="00581BB8" w:rsidRPr="00581BB8" w:rsidRDefault="00581BB8" w:rsidP="00D53FEB">
            <w:pPr>
              <w:ind w:left="360"/>
            </w:pPr>
            <w:r w:rsidRPr="00581BB8">
              <w:t>Specific Norms</w:t>
            </w:r>
          </w:p>
        </w:tc>
        <w:tc>
          <w:tcPr>
            <w:tcW w:w="6948" w:type="dxa"/>
          </w:tcPr>
          <w:p w:rsidR="00581BB8" w:rsidRPr="00581BB8" w:rsidRDefault="00DF2655" w:rsidP="00DF2655">
            <w:r>
              <w:t>N/A – Task is currently set up to introduce general CI norms to be used throughout a course</w:t>
            </w:r>
          </w:p>
        </w:tc>
      </w:tr>
      <w:tr w:rsidR="00581BB8" w:rsidRPr="00581BB8" w:rsidTr="00581BB8">
        <w:tc>
          <w:tcPr>
            <w:tcW w:w="2628" w:type="dxa"/>
          </w:tcPr>
          <w:p w:rsidR="00581BB8" w:rsidRPr="00581BB8" w:rsidRDefault="00581BB8" w:rsidP="00D53FEB">
            <w:pPr>
              <w:ind w:left="360"/>
            </w:pPr>
            <w:r w:rsidRPr="00581BB8">
              <w:t>Specific Roles</w:t>
            </w:r>
          </w:p>
        </w:tc>
        <w:tc>
          <w:tcPr>
            <w:tcW w:w="6948" w:type="dxa"/>
          </w:tcPr>
          <w:p w:rsidR="00581BB8" w:rsidRPr="00581BB8" w:rsidRDefault="00DF2655" w:rsidP="00C65627">
            <w:r>
              <w:t>N/A – Task is currently set up to introduce general CI roles to be used throughout a course</w:t>
            </w:r>
          </w:p>
        </w:tc>
      </w:tr>
      <w:tr w:rsidR="009304BF" w:rsidRPr="00581BB8" w:rsidTr="004D7E56">
        <w:tc>
          <w:tcPr>
            <w:tcW w:w="2628" w:type="dxa"/>
          </w:tcPr>
          <w:p w:rsidR="009304BF" w:rsidRPr="00581BB8" w:rsidRDefault="009304BF" w:rsidP="00D53FEB">
            <w:pPr>
              <w:ind w:left="360"/>
            </w:pPr>
            <w:r>
              <w:t>Multiple abilit</w:t>
            </w:r>
            <w:r w:rsidR="00C70D21">
              <w:t>y orientation</w:t>
            </w:r>
          </w:p>
        </w:tc>
        <w:tc>
          <w:tcPr>
            <w:tcW w:w="6948" w:type="dxa"/>
          </w:tcPr>
          <w:p w:rsidR="00DF2655" w:rsidRPr="00DF2655" w:rsidRDefault="00DF2655" w:rsidP="00DF2655">
            <w:r w:rsidRPr="00DF2655">
              <w:t>In order to succeed at this task, your group will need to do the following:</w:t>
            </w:r>
          </w:p>
          <w:p w:rsidR="00DF2655" w:rsidRDefault="00DF2655" w:rsidP="00DF2655">
            <w:pPr>
              <w:pStyle w:val="ListParagraph"/>
              <w:numPr>
                <w:ilvl w:val="0"/>
                <w:numId w:val="2"/>
              </w:numPr>
            </w:pPr>
            <w:r>
              <w:t>Problem solve</w:t>
            </w:r>
          </w:p>
          <w:p w:rsidR="00DF2655" w:rsidRDefault="00DF2655" w:rsidP="00DF2655">
            <w:pPr>
              <w:pStyle w:val="ListParagraph"/>
              <w:numPr>
                <w:ilvl w:val="1"/>
                <w:numId w:val="2"/>
              </w:numPr>
            </w:pPr>
            <w:r>
              <w:t>Invent multiple strategies</w:t>
            </w:r>
          </w:p>
          <w:p w:rsidR="00DF2655" w:rsidRDefault="00DF2655" w:rsidP="00DF2655">
            <w:pPr>
              <w:pStyle w:val="ListParagraph"/>
              <w:numPr>
                <w:ilvl w:val="1"/>
                <w:numId w:val="2"/>
              </w:numPr>
            </w:pPr>
            <w:r>
              <w:t>Limit yourself to pre-algebra mathematics</w:t>
            </w:r>
          </w:p>
          <w:p w:rsidR="00DF2655" w:rsidRDefault="00DF2655" w:rsidP="00DF2655">
            <w:pPr>
              <w:pStyle w:val="ListParagraph"/>
              <w:numPr>
                <w:ilvl w:val="0"/>
                <w:numId w:val="2"/>
              </w:numPr>
            </w:pPr>
            <w:r>
              <w:t>Think from a K-12 student’s perspective</w:t>
            </w:r>
          </w:p>
          <w:p w:rsidR="00DF2655" w:rsidRDefault="00DF2655" w:rsidP="00DF2655">
            <w:pPr>
              <w:pStyle w:val="ListParagraph"/>
              <w:numPr>
                <w:ilvl w:val="0"/>
                <w:numId w:val="2"/>
              </w:numPr>
            </w:pPr>
            <w:r>
              <w:t>Make connections between mathematical ideas</w:t>
            </w:r>
          </w:p>
          <w:p w:rsidR="00DF2655" w:rsidRDefault="00DF2655" w:rsidP="00DF2655">
            <w:pPr>
              <w:pStyle w:val="ListParagraph"/>
              <w:numPr>
                <w:ilvl w:val="0"/>
                <w:numId w:val="2"/>
              </w:numPr>
            </w:pPr>
            <w:r>
              <w:t>Represent mathematical ideas in multiple ways</w:t>
            </w:r>
          </w:p>
          <w:p w:rsidR="00DF2655" w:rsidRDefault="00DF2655" w:rsidP="00DF2655">
            <w:pPr>
              <w:pStyle w:val="ListParagraph"/>
              <w:numPr>
                <w:ilvl w:val="0"/>
                <w:numId w:val="2"/>
              </w:numPr>
            </w:pPr>
            <w:r>
              <w:t>Make generalizations</w:t>
            </w:r>
          </w:p>
          <w:p w:rsidR="00DF2655" w:rsidRDefault="00DF2655" w:rsidP="00DF2655">
            <w:pPr>
              <w:pStyle w:val="ListParagraph"/>
              <w:numPr>
                <w:ilvl w:val="0"/>
                <w:numId w:val="2"/>
              </w:numPr>
            </w:pPr>
            <w:r>
              <w:t>Communicate mathematical ideas clearly</w:t>
            </w:r>
          </w:p>
          <w:p w:rsidR="00DF2655" w:rsidRDefault="00DF2655" w:rsidP="00DF2655">
            <w:pPr>
              <w:pStyle w:val="ListParagraph"/>
              <w:numPr>
                <w:ilvl w:val="0"/>
                <w:numId w:val="2"/>
              </w:numPr>
            </w:pPr>
            <w:r>
              <w:lastRenderedPageBreak/>
              <w:t>Listen to, understand, question, and extend others’ reasoning</w:t>
            </w:r>
          </w:p>
          <w:p w:rsidR="00DF2655" w:rsidRDefault="00DF2655" w:rsidP="00DF2655">
            <w:pPr>
              <w:pStyle w:val="ListParagraph"/>
              <w:numPr>
                <w:ilvl w:val="0"/>
                <w:numId w:val="2"/>
              </w:numPr>
            </w:pPr>
            <w:r>
              <w:t>Make mathematical arguments/justifications</w:t>
            </w:r>
          </w:p>
          <w:p w:rsidR="00DF2655" w:rsidRDefault="00DF2655" w:rsidP="00DF2655"/>
          <w:p w:rsidR="009304BF" w:rsidRPr="00581BB8" w:rsidRDefault="00DF2655" w:rsidP="00DF2655">
            <w:r>
              <w:t>No one has all of these abilities, but together, the members of your group have the abilities necessary to succeed at this task.</w:t>
            </w:r>
          </w:p>
        </w:tc>
      </w:tr>
      <w:tr w:rsidR="00D53FEB" w:rsidRPr="00581BB8" w:rsidTr="004D7E56">
        <w:tc>
          <w:tcPr>
            <w:tcW w:w="2628" w:type="dxa"/>
          </w:tcPr>
          <w:p w:rsidR="00D53FEB" w:rsidRPr="00581BB8" w:rsidRDefault="00D53FEB" w:rsidP="004D7E56">
            <w:pPr>
              <w:ind w:left="360"/>
            </w:pPr>
            <w:r>
              <w:lastRenderedPageBreak/>
              <w:t>M</w:t>
            </w:r>
            <w:r w:rsidRPr="00D53FEB">
              <w:rPr>
                <w:i/>
              </w:rPr>
              <w:t>aterials</w:t>
            </w:r>
            <w:r>
              <w:t xml:space="preserve"> to prepare</w:t>
            </w:r>
          </w:p>
        </w:tc>
        <w:tc>
          <w:tcPr>
            <w:tcW w:w="6948" w:type="dxa"/>
          </w:tcPr>
          <w:p w:rsidR="00D53FEB" w:rsidRPr="00581BB8" w:rsidRDefault="00DF2655" w:rsidP="004D7E56">
            <w:r>
              <w:t>Copies of task card</w:t>
            </w:r>
          </w:p>
        </w:tc>
      </w:tr>
      <w:tr w:rsidR="00581BB8" w:rsidRPr="00581BB8" w:rsidTr="00581BB8">
        <w:tc>
          <w:tcPr>
            <w:tcW w:w="2628" w:type="dxa"/>
          </w:tcPr>
          <w:p w:rsidR="00581BB8" w:rsidRPr="00581BB8" w:rsidRDefault="00D53FEB" w:rsidP="00D53FEB">
            <w:pPr>
              <w:ind w:left="360"/>
            </w:pPr>
            <w:r>
              <w:rPr>
                <w:i/>
              </w:rPr>
              <w:t>H</w:t>
            </w:r>
            <w:r w:rsidRPr="00D53FEB">
              <w:rPr>
                <w:i/>
              </w:rPr>
              <w:t>andouts</w:t>
            </w:r>
            <w:r>
              <w:t xml:space="preserve"> that should accompany the task</w:t>
            </w:r>
          </w:p>
        </w:tc>
        <w:tc>
          <w:tcPr>
            <w:tcW w:w="6948" w:type="dxa"/>
          </w:tcPr>
          <w:p w:rsidR="00581BB8" w:rsidRPr="00581BB8" w:rsidRDefault="00DF2655" w:rsidP="00B27019">
            <w:r>
              <w:t>Role cards</w:t>
            </w:r>
          </w:p>
        </w:tc>
      </w:tr>
      <w:tr w:rsidR="009304BF" w:rsidRPr="00581BB8" w:rsidTr="009304BF">
        <w:tc>
          <w:tcPr>
            <w:tcW w:w="2628" w:type="dxa"/>
          </w:tcPr>
          <w:p w:rsidR="009304BF" w:rsidRPr="009304BF" w:rsidRDefault="009304BF" w:rsidP="002F6FAE">
            <w:pPr>
              <w:rPr>
                <w:b/>
              </w:rPr>
            </w:pPr>
            <w:r w:rsidRPr="009304BF">
              <w:rPr>
                <w:b/>
              </w:rPr>
              <w:t>Task Enactment</w:t>
            </w:r>
          </w:p>
        </w:tc>
        <w:tc>
          <w:tcPr>
            <w:tcW w:w="6948" w:type="dxa"/>
            <w:shd w:val="clear" w:color="auto" w:fill="A6A6A6" w:themeFill="background1" w:themeFillShade="A6"/>
          </w:tcPr>
          <w:p w:rsidR="009304BF" w:rsidRPr="00581BB8" w:rsidRDefault="009304BF" w:rsidP="002F6FAE"/>
        </w:tc>
      </w:tr>
      <w:tr w:rsidR="00581BB8" w:rsidRPr="00581BB8" w:rsidTr="00581BB8">
        <w:tc>
          <w:tcPr>
            <w:tcW w:w="2628" w:type="dxa"/>
          </w:tcPr>
          <w:p w:rsidR="00581BB8" w:rsidRPr="00581BB8" w:rsidRDefault="00581BB8" w:rsidP="009304BF">
            <w:pPr>
              <w:ind w:left="360"/>
            </w:pPr>
            <w:r w:rsidRPr="00581BB8">
              <w:t>Launch</w:t>
            </w:r>
          </w:p>
        </w:tc>
        <w:tc>
          <w:tcPr>
            <w:tcW w:w="6948" w:type="dxa"/>
          </w:tcPr>
          <w:p w:rsidR="00DF2655" w:rsidRDefault="00E27D35" w:rsidP="002F6FAE">
            <w:r>
              <w:t xml:space="preserve">If using to introduce CI: </w:t>
            </w:r>
            <w:r w:rsidR="00DF2655">
              <w:t>Provide background on CI: research based, a set of pedagogical techniques for making groups work well together, and that it involves norms and roles designed to support group work. Introduce norms (or could be discussed as a class) and roles.</w:t>
            </w:r>
            <w:r w:rsidR="00A3644C">
              <w:t xml:space="preserve"> Explain that on this initial task some of the directions remind you about the group roles, but in the future this will be less common as the PSTs get used to the roles.</w:t>
            </w:r>
          </w:p>
          <w:p w:rsidR="00A3644C" w:rsidRDefault="00A3644C" w:rsidP="002F6FAE"/>
          <w:p w:rsidR="00A3644C" w:rsidRPr="00A3644C" w:rsidRDefault="00A3644C" w:rsidP="002F6FAE">
            <w:r>
              <w:t xml:space="preserve">If desired: Explain that a major theme in exploring algebra in this course will be the idea that algebraic symbols and rules can actually mean something and can make sense. Algebra in this class is not about “solving for </w:t>
            </w:r>
            <w:r>
              <w:rPr>
                <w:i/>
              </w:rPr>
              <w:t>x</w:t>
            </w:r>
            <w:r>
              <w:t>” by following memorized rules. This task is designed to highlight these ideas.</w:t>
            </w:r>
          </w:p>
        </w:tc>
      </w:tr>
      <w:tr w:rsidR="00581BB8" w:rsidRPr="00581BB8" w:rsidTr="00581BB8">
        <w:tc>
          <w:tcPr>
            <w:tcW w:w="2628" w:type="dxa"/>
          </w:tcPr>
          <w:p w:rsidR="00581BB8" w:rsidRPr="00581BB8" w:rsidRDefault="00581BB8" w:rsidP="009304BF">
            <w:pPr>
              <w:ind w:left="360"/>
            </w:pPr>
            <w:r w:rsidRPr="00581BB8">
              <w:t>Closure</w:t>
            </w:r>
          </w:p>
        </w:tc>
        <w:tc>
          <w:tcPr>
            <w:tcW w:w="6948" w:type="dxa"/>
          </w:tcPr>
          <w:p w:rsidR="00581BB8" w:rsidRPr="00581BB8" w:rsidRDefault="00A3644C" w:rsidP="001966FD">
            <w:r>
              <w:t>Class discussion of strategies developed with a major emphasis on the connections between (a) the figures, (b) the written rules (#8), and (c) the algebraic variables. Then discuss connections across strategies. For instance where the “3” (roof and floor) from each house is across different strategies.</w:t>
            </w:r>
          </w:p>
        </w:tc>
      </w:tr>
      <w:tr w:rsidR="00581BB8" w:rsidRPr="00581BB8" w:rsidTr="00581BB8">
        <w:tc>
          <w:tcPr>
            <w:tcW w:w="2628" w:type="dxa"/>
          </w:tcPr>
          <w:p w:rsidR="00581BB8" w:rsidRPr="00581BB8" w:rsidRDefault="009304BF" w:rsidP="009304BF">
            <w:pPr>
              <w:ind w:left="360"/>
            </w:pPr>
            <w:r>
              <w:t>Any specific directions?</w:t>
            </w:r>
          </w:p>
        </w:tc>
        <w:tc>
          <w:tcPr>
            <w:tcW w:w="6948" w:type="dxa"/>
          </w:tcPr>
          <w:p w:rsidR="00581BB8" w:rsidRPr="00581BB8" w:rsidRDefault="00DF2655" w:rsidP="008D2036">
            <w:r>
              <w:t>N/A</w:t>
            </w:r>
          </w:p>
        </w:tc>
      </w:tr>
      <w:tr w:rsidR="009304BF" w:rsidRPr="00581BB8" w:rsidTr="00D53FEB">
        <w:tc>
          <w:tcPr>
            <w:tcW w:w="2628" w:type="dxa"/>
          </w:tcPr>
          <w:p w:rsidR="009304BF" w:rsidRPr="00581BB8" w:rsidRDefault="009304BF" w:rsidP="009304BF">
            <w:pPr>
              <w:ind w:left="360"/>
            </w:pPr>
          </w:p>
        </w:tc>
        <w:tc>
          <w:tcPr>
            <w:tcW w:w="6948" w:type="dxa"/>
            <w:shd w:val="clear" w:color="auto" w:fill="A6A6A6" w:themeFill="background1" w:themeFillShade="A6"/>
          </w:tcPr>
          <w:p w:rsidR="009304BF" w:rsidRPr="00581BB8" w:rsidRDefault="009304BF" w:rsidP="004D7E56"/>
        </w:tc>
      </w:tr>
      <w:tr w:rsidR="00581BB8" w:rsidRPr="00581BB8" w:rsidTr="00581BB8">
        <w:tc>
          <w:tcPr>
            <w:tcW w:w="2628" w:type="dxa"/>
          </w:tcPr>
          <w:p w:rsidR="00D53FEB" w:rsidRPr="00581BB8" w:rsidRDefault="00D53FEB" w:rsidP="00D53FEB">
            <w:pPr>
              <w:ind w:left="360" w:hanging="360"/>
            </w:pPr>
            <w:r>
              <w:t xml:space="preserve">Possible variations – </w:t>
            </w:r>
            <w:r w:rsidRPr="00D53FEB">
              <w:rPr>
                <w:sz w:val="20"/>
                <w:szCs w:val="20"/>
              </w:rPr>
              <w:t>how might this task be adjusted for different content or grade level?</w:t>
            </w:r>
          </w:p>
        </w:tc>
        <w:tc>
          <w:tcPr>
            <w:tcW w:w="6948" w:type="dxa"/>
          </w:tcPr>
          <w:p w:rsidR="00A3644C" w:rsidRPr="00581BB8" w:rsidRDefault="00DF2655" w:rsidP="00A3644C">
            <w:r>
              <w:t xml:space="preserve">For higher grade levels there could be more focus on Part 3 and the Extension (considering multiple rules and how they interrelate). There could be prompts added like, “if a </w:t>
            </w:r>
            <w:r w:rsidR="00A3644C">
              <w:t>row of houses</w:t>
            </w:r>
            <w:r>
              <w:t xml:space="preserve"> has </w:t>
            </w:r>
            <w:r w:rsidR="00A3644C">
              <w:t>23 outside edges then how many houses long is it? How do you know?” and/or “is it possible to have a row of houses with 24 outside edges? Why or why not?”</w:t>
            </w:r>
          </w:p>
        </w:tc>
      </w:tr>
    </w:tbl>
    <w:p w:rsidR="00C51370" w:rsidRDefault="00C51370"/>
    <w:p w:rsidR="00C51370" w:rsidRDefault="00C51370"/>
    <w:p w:rsidR="004F2B9B" w:rsidRDefault="004F2B9B"/>
    <w:p w:rsidR="004F2B9B" w:rsidRDefault="004F2B9B"/>
    <w:sectPr w:rsidR="004F2B9B" w:rsidSect="0071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5BE5"/>
    <w:multiLevelType w:val="hybridMultilevel"/>
    <w:tmpl w:val="3BB8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E13EA"/>
    <w:multiLevelType w:val="hybridMultilevel"/>
    <w:tmpl w:val="64F6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B"/>
    <w:rsid w:val="0043231E"/>
    <w:rsid w:val="004900DB"/>
    <w:rsid w:val="004B22FA"/>
    <w:rsid w:val="004D0D1E"/>
    <w:rsid w:val="004F2B9B"/>
    <w:rsid w:val="005553EE"/>
    <w:rsid w:val="005630E5"/>
    <w:rsid w:val="00564E66"/>
    <w:rsid w:val="00581BB8"/>
    <w:rsid w:val="00713746"/>
    <w:rsid w:val="007E2A3E"/>
    <w:rsid w:val="009304BF"/>
    <w:rsid w:val="00A3644C"/>
    <w:rsid w:val="00C51370"/>
    <w:rsid w:val="00C70D21"/>
    <w:rsid w:val="00D53FEB"/>
    <w:rsid w:val="00DF2655"/>
    <w:rsid w:val="00E168AB"/>
    <w:rsid w:val="00E2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F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F2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Up),H2 (APA 1)"/>
    <w:basedOn w:val="Heading1"/>
    <w:next w:val="Normal"/>
    <w:link w:val="Heading2Char"/>
    <w:uiPriority w:val="3"/>
    <w:qFormat/>
    <w:rsid w:val="00DF2655"/>
    <w:pPr>
      <w:keepLines w:val="0"/>
      <w:spacing w:before="360" w:after="120"/>
      <w:outlineLvl w:val="1"/>
    </w:pPr>
    <w:rPr>
      <w:bCs w:val="0"/>
      <w:color w:val="auto"/>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370"/>
    <w:rPr>
      <w:sz w:val="16"/>
      <w:szCs w:val="16"/>
    </w:rPr>
  </w:style>
  <w:style w:type="paragraph" w:styleId="CommentText">
    <w:name w:val="annotation text"/>
    <w:basedOn w:val="Normal"/>
    <w:link w:val="CommentTextChar"/>
    <w:uiPriority w:val="99"/>
    <w:semiHidden/>
    <w:unhideWhenUsed/>
    <w:rsid w:val="00C51370"/>
    <w:rPr>
      <w:sz w:val="20"/>
      <w:szCs w:val="20"/>
    </w:rPr>
  </w:style>
  <w:style w:type="character" w:customStyle="1" w:styleId="CommentTextChar">
    <w:name w:val="Comment Text Char"/>
    <w:basedOn w:val="DefaultParagraphFont"/>
    <w:link w:val="CommentText"/>
    <w:uiPriority w:val="99"/>
    <w:semiHidden/>
    <w:rsid w:val="00C513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1370"/>
    <w:rPr>
      <w:b/>
      <w:bCs/>
    </w:rPr>
  </w:style>
  <w:style w:type="character" w:customStyle="1" w:styleId="CommentSubjectChar">
    <w:name w:val="Comment Subject Char"/>
    <w:basedOn w:val="CommentTextChar"/>
    <w:link w:val="CommentSubject"/>
    <w:uiPriority w:val="99"/>
    <w:semiHidden/>
    <w:rsid w:val="00C51370"/>
    <w:rPr>
      <w:rFonts w:ascii="Times New Roman" w:hAnsi="Times New Roman"/>
      <w:b/>
      <w:bCs/>
      <w:sz w:val="20"/>
      <w:szCs w:val="20"/>
    </w:rPr>
  </w:style>
  <w:style w:type="paragraph" w:styleId="BalloonText">
    <w:name w:val="Balloon Text"/>
    <w:basedOn w:val="Normal"/>
    <w:link w:val="BalloonTextChar"/>
    <w:uiPriority w:val="99"/>
    <w:semiHidden/>
    <w:unhideWhenUsed/>
    <w:rsid w:val="00C51370"/>
    <w:rPr>
      <w:rFonts w:ascii="Tahoma" w:hAnsi="Tahoma" w:cs="Tahoma"/>
      <w:sz w:val="16"/>
      <w:szCs w:val="16"/>
    </w:rPr>
  </w:style>
  <w:style w:type="character" w:customStyle="1" w:styleId="BalloonTextChar">
    <w:name w:val="Balloon Text Char"/>
    <w:basedOn w:val="DefaultParagraphFont"/>
    <w:link w:val="BalloonText"/>
    <w:uiPriority w:val="99"/>
    <w:semiHidden/>
    <w:rsid w:val="00C51370"/>
    <w:rPr>
      <w:rFonts w:ascii="Tahoma" w:hAnsi="Tahoma" w:cs="Tahoma"/>
      <w:sz w:val="16"/>
      <w:szCs w:val="16"/>
    </w:rPr>
  </w:style>
  <w:style w:type="table" w:styleId="TableGrid">
    <w:name w:val="Table Grid"/>
    <w:basedOn w:val="TableNormal"/>
    <w:uiPriority w:val="59"/>
    <w:rsid w:val="005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3EE"/>
    <w:pPr>
      <w:ind w:left="720"/>
      <w:contextualSpacing/>
    </w:pPr>
  </w:style>
  <w:style w:type="character" w:customStyle="1" w:styleId="Heading2Char">
    <w:name w:val="Heading 2 Char"/>
    <w:aliases w:val="H2 (Up) Char,H2 (APA 1) Char"/>
    <w:basedOn w:val="DefaultParagraphFont"/>
    <w:link w:val="Heading2"/>
    <w:uiPriority w:val="3"/>
    <w:rsid w:val="00DF2655"/>
    <w:rPr>
      <w:rFonts w:asciiTheme="majorHAnsi" w:eastAsiaTheme="majorEastAsia" w:hAnsiTheme="majorHAnsi" w:cstheme="majorBidi"/>
      <w:b/>
      <w:sz w:val="24"/>
      <w:szCs w:val="26"/>
      <w:lang w:bidi="en-US"/>
    </w:rPr>
  </w:style>
  <w:style w:type="character" w:customStyle="1" w:styleId="Heading1Char">
    <w:name w:val="Heading 1 Char"/>
    <w:basedOn w:val="DefaultParagraphFont"/>
    <w:link w:val="Heading1"/>
    <w:uiPriority w:val="9"/>
    <w:rsid w:val="00DF26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F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F2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Up),H2 (APA 1)"/>
    <w:basedOn w:val="Heading1"/>
    <w:next w:val="Normal"/>
    <w:link w:val="Heading2Char"/>
    <w:uiPriority w:val="3"/>
    <w:qFormat/>
    <w:rsid w:val="00DF2655"/>
    <w:pPr>
      <w:keepLines w:val="0"/>
      <w:spacing w:before="360" w:after="120"/>
      <w:outlineLvl w:val="1"/>
    </w:pPr>
    <w:rPr>
      <w:bCs w:val="0"/>
      <w:color w:val="auto"/>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370"/>
    <w:rPr>
      <w:sz w:val="16"/>
      <w:szCs w:val="16"/>
    </w:rPr>
  </w:style>
  <w:style w:type="paragraph" w:styleId="CommentText">
    <w:name w:val="annotation text"/>
    <w:basedOn w:val="Normal"/>
    <w:link w:val="CommentTextChar"/>
    <w:uiPriority w:val="99"/>
    <w:semiHidden/>
    <w:unhideWhenUsed/>
    <w:rsid w:val="00C51370"/>
    <w:rPr>
      <w:sz w:val="20"/>
      <w:szCs w:val="20"/>
    </w:rPr>
  </w:style>
  <w:style w:type="character" w:customStyle="1" w:styleId="CommentTextChar">
    <w:name w:val="Comment Text Char"/>
    <w:basedOn w:val="DefaultParagraphFont"/>
    <w:link w:val="CommentText"/>
    <w:uiPriority w:val="99"/>
    <w:semiHidden/>
    <w:rsid w:val="00C513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1370"/>
    <w:rPr>
      <w:b/>
      <w:bCs/>
    </w:rPr>
  </w:style>
  <w:style w:type="character" w:customStyle="1" w:styleId="CommentSubjectChar">
    <w:name w:val="Comment Subject Char"/>
    <w:basedOn w:val="CommentTextChar"/>
    <w:link w:val="CommentSubject"/>
    <w:uiPriority w:val="99"/>
    <w:semiHidden/>
    <w:rsid w:val="00C51370"/>
    <w:rPr>
      <w:rFonts w:ascii="Times New Roman" w:hAnsi="Times New Roman"/>
      <w:b/>
      <w:bCs/>
      <w:sz w:val="20"/>
      <w:szCs w:val="20"/>
    </w:rPr>
  </w:style>
  <w:style w:type="paragraph" w:styleId="BalloonText">
    <w:name w:val="Balloon Text"/>
    <w:basedOn w:val="Normal"/>
    <w:link w:val="BalloonTextChar"/>
    <w:uiPriority w:val="99"/>
    <w:semiHidden/>
    <w:unhideWhenUsed/>
    <w:rsid w:val="00C51370"/>
    <w:rPr>
      <w:rFonts w:ascii="Tahoma" w:hAnsi="Tahoma" w:cs="Tahoma"/>
      <w:sz w:val="16"/>
      <w:szCs w:val="16"/>
    </w:rPr>
  </w:style>
  <w:style w:type="character" w:customStyle="1" w:styleId="BalloonTextChar">
    <w:name w:val="Balloon Text Char"/>
    <w:basedOn w:val="DefaultParagraphFont"/>
    <w:link w:val="BalloonText"/>
    <w:uiPriority w:val="99"/>
    <w:semiHidden/>
    <w:rsid w:val="00C51370"/>
    <w:rPr>
      <w:rFonts w:ascii="Tahoma" w:hAnsi="Tahoma" w:cs="Tahoma"/>
      <w:sz w:val="16"/>
      <w:szCs w:val="16"/>
    </w:rPr>
  </w:style>
  <w:style w:type="table" w:styleId="TableGrid">
    <w:name w:val="Table Grid"/>
    <w:basedOn w:val="TableNormal"/>
    <w:uiPriority w:val="59"/>
    <w:rsid w:val="005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3EE"/>
    <w:pPr>
      <w:ind w:left="720"/>
      <w:contextualSpacing/>
    </w:pPr>
  </w:style>
  <w:style w:type="character" w:customStyle="1" w:styleId="Heading2Char">
    <w:name w:val="Heading 2 Char"/>
    <w:aliases w:val="H2 (Up) Char,H2 (APA 1) Char"/>
    <w:basedOn w:val="DefaultParagraphFont"/>
    <w:link w:val="Heading2"/>
    <w:uiPriority w:val="3"/>
    <w:rsid w:val="00DF2655"/>
    <w:rPr>
      <w:rFonts w:asciiTheme="majorHAnsi" w:eastAsiaTheme="majorEastAsia" w:hAnsiTheme="majorHAnsi" w:cstheme="majorBidi"/>
      <w:b/>
      <w:sz w:val="24"/>
      <w:szCs w:val="26"/>
      <w:lang w:bidi="en-US"/>
    </w:rPr>
  </w:style>
  <w:style w:type="character" w:customStyle="1" w:styleId="Heading1Char">
    <w:name w:val="Heading 1 Char"/>
    <w:basedOn w:val="DefaultParagraphFont"/>
    <w:link w:val="Heading1"/>
    <w:uiPriority w:val="9"/>
    <w:rsid w:val="00DF26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Marcy B - (mbwood)</dc:creator>
  <cp:lastModifiedBy>Wood, Marcy B - (mbwood)</cp:lastModifiedBy>
  <cp:revision>4</cp:revision>
  <dcterms:created xsi:type="dcterms:W3CDTF">2014-07-29T22:32:00Z</dcterms:created>
  <dcterms:modified xsi:type="dcterms:W3CDTF">2014-07-29T22:55:00Z</dcterms:modified>
</cp:coreProperties>
</file>